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rFonts w:ascii="Arial" w:cs="Arial" w:eastAsia="Arial" w:hAnsi="Arial"/>
          <w:b/>
          <w:bCs/>
          <w:color w:val="1F3864"/>
          <w:sz w:val="36"/>
          <w:szCs w:val="36"/>
        </w:rPr>
        <w:t xml:space="preserve">VERIFICAJÁ</w:t>
      </w:r>
    </w:p>
    <w:p>
      <w:pPr>
        <w:spacing w:after="80"/>
        <w:jc w:val="center"/>
      </w:pPr>
      <w:r>
        <w:rPr>
          <w:rFonts w:ascii="Arial" w:cs="Arial" w:eastAsia="Arial" w:hAnsi="Arial"/>
          <w:color w:val="444444"/>
          <w:sz w:val="24"/>
          <w:szCs w:val="24"/>
        </w:rPr>
        <w:t xml:space="preserve">Plataforma de Consultas Cadastrais</w:t>
      </w:r>
    </w:p>
    <w:p>
      <w:pPr>
        <w:spacing w:after="80"/>
        <w:jc w:val="center"/>
      </w:pPr>
      <w:r>
        <w:rPr>
          <w:rFonts w:ascii="Arial" w:cs="Arial" w:eastAsia="Arial" w:hAnsi="Arial"/>
          <w:color w:val="666666"/>
          <w:sz w:val="20"/>
          <w:szCs w:val="20"/>
        </w:rPr>
        <w:t xml:space="preserve">Operada por Brokercred Imóveis Ltda | CNPJ: 42.089.729/0001-26</w:t>
      </w:r>
    </w:p>
    <w:p>
      <w:pPr>
        <w:spacing w:after="240"/>
        <w:jc w:val="center"/>
      </w:pPr>
      <w:r>
        <w:rPr>
          <w:rFonts w:ascii="Arial" w:cs="Arial" w:eastAsia="Arial" w:hAnsi="Arial"/>
          <w:b/>
          <w:bCs/>
          <w:color w:val="1F3864"/>
          <w:sz w:val="28"/>
          <w:szCs w:val="28"/>
        </w:rPr>
        <w:t xml:space="preserve">POLÍTICA DE PRIVACIDADE</w:t>
      </w:r>
    </w:p>
    <w:p>
      <w:pPr>
        <w:spacing w:after="400"/>
        <w:jc w:val="center"/>
      </w:pPr>
      <w:r>
        <w:rPr>
          <w:rFonts w:ascii="Arial" w:cs="Arial" w:eastAsia="Arial" w:hAnsi="Arial"/>
          <w:i/>
          <w:iCs/>
          <w:color w:val="666666"/>
          <w:sz w:val="20"/>
          <w:szCs w:val="20"/>
        </w:rPr>
        <w:t xml:space="preserve">Última atualização: julho de 2026 · v1</w:t>
      </w:r>
    </w:p>
    <w:p>
      <w:pPr>
        <w:spacing w:after="160"/>
        <w:jc w:val="both"/>
      </w:pPr>
      <w:r>
        <w:rPr>
          <w:rFonts w:ascii="Arial" w:cs="Arial" w:eastAsia="Arial" w:hAnsi="Arial"/>
          <w:sz w:val="22"/>
          <w:szCs w:val="22"/>
        </w:rPr>
        <w:t xml:space="preserve">A Brokercred Imóveis Ltda, pessoa jurídica de direito privado, inscrita no CNPJ sob o número 42.089.729/0001-26, operadora da plataforma VerificaJá (verificaja.com.br), respeita a privacidade dos seus usuários e está comprometida com a proteção dos dados pessoais tratados em suas operações, em conformidade com a Lei nº 13.709/2018 (Lei Geral de Proteção de Dados Pessoais - LGPD).</w:t>
      </w:r>
    </w:p>
    <w:p>
      <w:pPr>
        <w:spacing w:after="160"/>
        <w:jc w:val="both"/>
      </w:pPr>
      <w:r>
        <w:rPr>
          <w:rFonts w:ascii="Arial" w:cs="Arial" w:eastAsia="Arial" w:hAnsi="Arial"/>
          <w:sz w:val="22"/>
          <w:szCs w:val="22"/>
        </w:rPr>
        <w:t xml:space="preserve">Esta Política de Privacidade descreve como coletamos, usamos, armazenamos, compartilhamos e protegemos os dados pessoais no contexto da utilização da Plataforma, e deve ser lida em conjunto com os Termos de Uso do VerificaJá.</w:t>
      </w:r>
    </w:p>
    <w:p>
      <w:r>
        <w:t xml:space="preserve"/>
      </w:r>
    </w:p>
    <w:p>
      <w:pPr>
        <w:pStyle w:val="Heading1"/>
      </w:pPr>
      <w:r>
        <w:rPr>
          <w:rFonts w:ascii="Arial" w:cs="Arial" w:eastAsia="Arial" w:hAnsi="Arial"/>
          <w:b/>
          <w:bCs/>
          <w:sz w:val="26"/>
          <w:szCs w:val="26"/>
        </w:rPr>
        <w:t xml:space="preserve">1. Definições</w:t>
      </w:r>
    </w:p>
    <w:p>
      <w:pPr>
        <w:pStyle w:val="ListParagraph"/>
        <w:numPr>
          <w:ilvl w:val="0"/>
          <w:numId w:val="2"/>
        </w:numPr>
        <w:spacing w:after="100"/>
        <w:jc w:val="both"/>
      </w:pPr>
      <w:r>
        <w:rPr>
          <w:rFonts w:ascii="Arial" w:cs="Arial" w:eastAsia="Arial" w:hAnsi="Arial"/>
          <w:sz w:val="22"/>
          <w:szCs w:val="22"/>
        </w:rPr>
        <w:t xml:space="preserve">Plataforma: sistema VerificaJá, disponível em verificaja.com.br.</w:t>
      </w:r>
    </w:p>
    <w:p>
      <w:pPr>
        <w:pStyle w:val="ListParagraph"/>
        <w:numPr>
          <w:ilvl w:val="0"/>
          <w:numId w:val="2"/>
        </w:numPr>
        <w:spacing w:after="100"/>
        <w:jc w:val="both"/>
      </w:pPr>
      <w:r>
        <w:rPr>
          <w:rFonts w:ascii="Arial" w:cs="Arial" w:eastAsia="Arial" w:hAnsi="Arial"/>
          <w:sz w:val="22"/>
          <w:szCs w:val="22"/>
        </w:rPr>
        <w:t xml:space="preserve">Usuário: pessoa física ou jurídica que contrata e utiliza os serviços da Plataforma.</w:t>
      </w:r>
    </w:p>
    <w:p>
      <w:pPr>
        <w:pStyle w:val="ListParagraph"/>
        <w:numPr>
          <w:ilvl w:val="0"/>
          <w:numId w:val="2"/>
        </w:numPr>
        <w:spacing w:after="100"/>
        <w:jc w:val="both"/>
      </w:pPr>
      <w:r>
        <w:rPr>
          <w:rFonts w:ascii="Arial" w:cs="Arial" w:eastAsia="Arial" w:hAnsi="Arial"/>
          <w:sz w:val="22"/>
          <w:szCs w:val="22"/>
        </w:rPr>
        <w:t xml:space="preserve">Titular dos Dados: pessoa natural a quem se referem os dados pessoais objeto de tratamento, seja o próprio Usuário, seja terceiro consultado pelo Usuário.</w:t>
      </w:r>
    </w:p>
    <w:p>
      <w:pPr>
        <w:pStyle w:val="ListParagraph"/>
        <w:numPr>
          <w:ilvl w:val="0"/>
          <w:numId w:val="2"/>
        </w:numPr>
        <w:spacing w:after="100"/>
        <w:jc w:val="both"/>
      </w:pPr>
      <w:r>
        <w:rPr>
          <w:rFonts w:ascii="Arial" w:cs="Arial" w:eastAsia="Arial" w:hAnsi="Arial"/>
          <w:sz w:val="22"/>
          <w:szCs w:val="22"/>
        </w:rPr>
        <w:t xml:space="preserve">Dados Pessoais: qualquer informação relacionada a pessoa natural identificada ou identificável.</w:t>
      </w:r>
    </w:p>
    <w:p>
      <w:pPr>
        <w:pStyle w:val="ListParagraph"/>
        <w:numPr>
          <w:ilvl w:val="0"/>
          <w:numId w:val="2"/>
        </w:numPr>
        <w:spacing w:after="100"/>
        <w:jc w:val="both"/>
      </w:pPr>
      <w:r>
        <w:rPr>
          <w:rFonts w:ascii="Arial" w:cs="Arial" w:eastAsia="Arial" w:hAnsi="Arial"/>
          <w:sz w:val="22"/>
          <w:szCs w:val="22"/>
        </w:rPr>
        <w:t xml:space="preserve">Fornecedores de Dados: empresas terceiras parceiras que disponibilizam bases de dados públicas e legalmente acessíveis, utilizadas exclusivamente pela Plataforma.</w:t>
      </w:r>
    </w:p>
    <w:p>
      <w:r>
        <w:t xml:space="preserve"/>
      </w:r>
    </w:p>
    <w:p>
      <w:pPr>
        <w:pStyle w:val="Heading1"/>
      </w:pPr>
      <w:r>
        <w:rPr>
          <w:rFonts w:ascii="Arial" w:cs="Arial" w:eastAsia="Arial" w:hAnsi="Arial"/>
          <w:b/>
          <w:bCs/>
          <w:sz w:val="26"/>
          <w:szCs w:val="26"/>
        </w:rPr>
        <w:t xml:space="preserve">2. Dados Coletados</w:t>
      </w:r>
    </w:p>
    <w:p>
      <w:pPr>
        <w:spacing w:after="160"/>
        <w:jc w:val="both"/>
      </w:pPr>
      <w:r>
        <w:rPr>
          <w:rFonts w:ascii="Arial" w:cs="Arial" w:eastAsia="Arial" w:hAnsi="Arial"/>
          <w:sz w:val="22"/>
          <w:szCs w:val="22"/>
        </w:rPr>
        <w:t xml:space="preserve">No cadastro e uso da Plataforma pelo Usuário, coletamos:</w:t>
      </w:r>
    </w:p>
    <w:p>
      <w:pPr>
        <w:pStyle w:val="ListParagraph"/>
        <w:numPr>
          <w:ilvl w:val="0"/>
          <w:numId w:val="2"/>
        </w:numPr>
        <w:spacing w:after="100"/>
        <w:jc w:val="both"/>
      </w:pPr>
      <w:r>
        <w:rPr>
          <w:rFonts w:ascii="Arial" w:cs="Arial" w:eastAsia="Arial" w:hAnsi="Arial"/>
          <w:sz w:val="22"/>
          <w:szCs w:val="22"/>
        </w:rPr>
        <w:t xml:space="preserve">Dados de identificação e contato: nome, e-mail, telefone/WhatsApp, CPF ou CNPJ.</w:t>
      </w:r>
    </w:p>
    <w:p>
      <w:pPr>
        <w:pStyle w:val="ListParagraph"/>
        <w:numPr>
          <w:ilvl w:val="0"/>
          <w:numId w:val="2"/>
        </w:numPr>
        <w:spacing w:after="100"/>
        <w:jc w:val="both"/>
      </w:pPr>
      <w:r>
        <w:rPr>
          <w:rFonts w:ascii="Arial" w:cs="Arial" w:eastAsia="Arial" w:hAnsi="Arial"/>
          <w:sz w:val="22"/>
          <w:szCs w:val="22"/>
        </w:rPr>
        <w:t xml:space="preserve">Dados de pagamento: processados diretamente pelo Mercado Pago; o VerificaJá não armazena números completos de cartão.</w:t>
      </w:r>
    </w:p>
    <w:p>
      <w:pPr>
        <w:pStyle w:val="ListParagraph"/>
        <w:numPr>
          <w:ilvl w:val="0"/>
          <w:numId w:val="2"/>
        </w:numPr>
        <w:spacing w:after="100"/>
        <w:jc w:val="both"/>
      </w:pPr>
      <w:r>
        <w:rPr>
          <w:rFonts w:ascii="Arial" w:cs="Arial" w:eastAsia="Arial" w:hAnsi="Arial"/>
          <w:sz w:val="22"/>
          <w:szCs w:val="22"/>
        </w:rPr>
        <w:t xml:space="preserve">Dados de uso: histórico de consultas realizadas, créditos utilizados, endereço IP e informações de navegação.</w:t>
      </w:r>
    </w:p>
    <w:p>
      <w:pPr>
        <w:pStyle w:val="ListParagraph"/>
        <w:numPr>
          <w:ilvl w:val="0"/>
          <w:numId w:val="2"/>
        </w:numPr>
        <w:spacing w:after="100"/>
        <w:jc w:val="both"/>
      </w:pPr>
      <w:r>
        <w:rPr>
          <w:rFonts w:ascii="Arial" w:cs="Arial" w:eastAsia="Arial" w:hAnsi="Arial"/>
          <w:sz w:val="22"/>
          <w:szCs w:val="22"/>
        </w:rPr>
        <w:t xml:space="preserve">Dados de comunicação: mensagens trocadas via WhatsApp (Z-API) e e-mail para suporte e notificações.</w:t>
      </w:r>
    </w:p>
    <w:p>
      <w:pPr>
        <w:spacing w:after="160"/>
        <w:jc w:val="both"/>
      </w:pPr>
      <w:r>
        <w:rPr>
          <w:rFonts w:ascii="Arial" w:cs="Arial" w:eastAsia="Arial" w:hAnsi="Arial"/>
          <w:sz w:val="22"/>
          <w:szCs w:val="22"/>
        </w:rPr>
        <w:t xml:space="preserve">Nas consultas realizadas pelo Usuário sobre terceiros (Titulares dos Dados), a Plataforma processa, em tempo real e junto aos Fornecedores de Dados, informações cadastrais, de contato, endereço, processos judiciais e verificações de KYC/PEP, sem retenção permanente dos resultados após a entrega ao Usuário.</w:t>
      </w:r>
    </w:p>
    <w:p>
      <w:r>
        <w:t xml:space="preserve"/>
      </w:r>
    </w:p>
    <w:p>
      <w:pPr>
        <w:pStyle w:val="Heading1"/>
      </w:pPr>
      <w:r>
        <w:rPr>
          <w:rFonts w:ascii="Arial" w:cs="Arial" w:eastAsia="Arial" w:hAnsi="Arial"/>
          <w:b/>
          <w:bCs/>
          <w:sz w:val="26"/>
          <w:szCs w:val="26"/>
        </w:rPr>
        <w:t xml:space="preserve">3. Finalidade do Tratamento</w:t>
      </w:r>
    </w:p>
    <w:p>
      <w:pPr>
        <w:spacing w:after="160"/>
        <w:jc w:val="both"/>
      </w:pPr>
      <w:r>
        <w:rPr>
          <w:rFonts w:ascii="Arial" w:cs="Arial" w:eastAsia="Arial" w:hAnsi="Arial"/>
          <w:sz w:val="22"/>
          <w:szCs w:val="22"/>
        </w:rPr>
        <w:t xml:space="preserve">Os dados pessoais coletados são utilizados para:</w:t>
      </w:r>
    </w:p>
    <w:p>
      <w:pPr>
        <w:pStyle w:val="ListParagraph"/>
        <w:numPr>
          <w:ilvl w:val="0"/>
          <w:numId w:val="2"/>
        </w:numPr>
        <w:spacing w:after="100"/>
        <w:jc w:val="both"/>
      </w:pPr>
      <w:r>
        <w:rPr>
          <w:rFonts w:ascii="Arial" w:cs="Arial" w:eastAsia="Arial" w:hAnsi="Arial"/>
          <w:sz w:val="22"/>
          <w:szCs w:val="22"/>
        </w:rPr>
        <w:t xml:space="preserve">Viabilizar o cadastro, login e autenticação do Usuário na Plataforma.</w:t>
      </w:r>
    </w:p>
    <w:p>
      <w:pPr>
        <w:pStyle w:val="ListParagraph"/>
        <w:numPr>
          <w:ilvl w:val="0"/>
          <w:numId w:val="2"/>
        </w:numPr>
        <w:spacing w:after="100"/>
        <w:jc w:val="both"/>
      </w:pPr>
      <w:r>
        <w:rPr>
          <w:rFonts w:ascii="Arial" w:cs="Arial" w:eastAsia="Arial" w:hAnsi="Arial"/>
          <w:sz w:val="22"/>
          <w:szCs w:val="22"/>
        </w:rPr>
        <w:t xml:space="preserve">Processar pagamentos e gerenciar créditos e planos contratados.</w:t>
      </w:r>
    </w:p>
    <w:p>
      <w:pPr>
        <w:pStyle w:val="ListParagraph"/>
        <w:numPr>
          <w:ilvl w:val="0"/>
          <w:numId w:val="2"/>
        </w:numPr>
        <w:spacing w:after="100"/>
        <w:jc w:val="both"/>
      </w:pPr>
      <w:r>
        <w:rPr>
          <w:rFonts w:ascii="Arial" w:cs="Arial" w:eastAsia="Arial" w:hAnsi="Arial"/>
          <w:sz w:val="22"/>
          <w:szCs w:val="22"/>
        </w:rPr>
        <w:t xml:space="preserve">Executar as consultas cadastrais solicitadas pelo Usuário.</w:t>
      </w:r>
    </w:p>
    <w:p>
      <w:pPr>
        <w:pStyle w:val="ListParagraph"/>
        <w:numPr>
          <w:ilvl w:val="0"/>
          <w:numId w:val="2"/>
        </w:numPr>
        <w:spacing w:after="100"/>
        <w:jc w:val="both"/>
      </w:pPr>
      <w:r>
        <w:rPr>
          <w:rFonts w:ascii="Arial" w:cs="Arial" w:eastAsia="Arial" w:hAnsi="Arial"/>
          <w:sz w:val="22"/>
          <w:szCs w:val="22"/>
        </w:rPr>
        <w:t xml:space="preserve">Enviar comunicações operacionais, notificações e suporte via e-mail e WhatsApp.</w:t>
      </w:r>
    </w:p>
    <w:p>
      <w:pPr>
        <w:pStyle w:val="ListParagraph"/>
        <w:numPr>
          <w:ilvl w:val="0"/>
          <w:numId w:val="2"/>
        </w:numPr>
        <w:spacing w:after="100"/>
        <w:jc w:val="both"/>
      </w:pPr>
      <w:r>
        <w:rPr>
          <w:rFonts w:ascii="Arial" w:cs="Arial" w:eastAsia="Arial" w:hAnsi="Arial"/>
          <w:sz w:val="22"/>
          <w:szCs w:val="22"/>
        </w:rPr>
        <w:t xml:space="preserve">Cumprir obrigações legais e regulatórias, incluindo prevenção a fraudes.</w:t>
      </w:r>
    </w:p>
    <w:p>
      <w:pPr>
        <w:pStyle w:val="ListParagraph"/>
        <w:numPr>
          <w:ilvl w:val="0"/>
          <w:numId w:val="2"/>
        </w:numPr>
        <w:spacing w:after="100"/>
        <w:jc w:val="both"/>
      </w:pPr>
      <w:r>
        <w:rPr>
          <w:rFonts w:ascii="Arial" w:cs="Arial" w:eastAsia="Arial" w:hAnsi="Arial"/>
          <w:sz w:val="22"/>
          <w:szCs w:val="22"/>
        </w:rPr>
        <w:t xml:space="preserve">Realizar análises estatísticas e de desempenho da Plataforma, por meio de ferramentas de analytics e pixels de conversão.</w:t>
      </w:r>
    </w:p>
    <w:p>
      <w:r>
        <w:t xml:space="preserve"/>
      </w:r>
    </w:p>
    <w:p>
      <w:pPr>
        <w:pStyle w:val="Heading1"/>
      </w:pPr>
      <w:r>
        <w:rPr>
          <w:rFonts w:ascii="Arial" w:cs="Arial" w:eastAsia="Arial" w:hAnsi="Arial"/>
          <w:b/>
          <w:bCs/>
          <w:sz w:val="26"/>
          <w:szCs w:val="26"/>
        </w:rPr>
        <w:t xml:space="preserve">4. Base Legal para Tratamento de Dados (LGPD)</w:t>
      </w:r>
    </w:p>
    <w:p>
      <w:pPr>
        <w:spacing w:after="160"/>
        <w:jc w:val="both"/>
      </w:pPr>
      <w:r>
        <w:rPr>
          <w:rFonts w:ascii="Arial" w:cs="Arial" w:eastAsia="Arial" w:hAnsi="Arial"/>
          <w:sz w:val="22"/>
          <w:szCs w:val="22"/>
        </w:rPr>
        <w:t xml:space="preserve">O tratamento de dados pessoais pela Plataforma se fundamenta nas seguintes bases legais previstas no Art. 7º da Lei nº 13.709/2018:</w:t>
      </w:r>
    </w:p>
    <w:p>
      <w:pPr>
        <w:pStyle w:val="ListParagraph"/>
        <w:numPr>
          <w:ilvl w:val="0"/>
          <w:numId w:val="2"/>
        </w:numPr>
        <w:spacing w:after="100"/>
        <w:jc w:val="both"/>
      </w:pPr>
      <w:r>
        <w:rPr>
          <w:rFonts w:ascii="Arial" w:cs="Arial" w:eastAsia="Arial" w:hAnsi="Arial"/>
          <w:sz w:val="22"/>
          <w:szCs w:val="22"/>
        </w:rPr>
        <w:t xml:space="preserve">Execução de contrato (inciso V): para viabilizar a prestação dos serviços contratados pelo Usuário.</w:t>
      </w:r>
    </w:p>
    <w:p>
      <w:pPr>
        <w:pStyle w:val="ListParagraph"/>
        <w:numPr>
          <w:ilvl w:val="0"/>
          <w:numId w:val="2"/>
        </w:numPr>
        <w:spacing w:after="100"/>
        <w:jc w:val="both"/>
      </w:pPr>
      <w:r>
        <w:rPr>
          <w:rFonts w:ascii="Arial" w:cs="Arial" w:eastAsia="Arial" w:hAnsi="Arial"/>
          <w:sz w:val="22"/>
          <w:szCs w:val="22"/>
        </w:rPr>
        <w:t xml:space="preserve">Legítimo interesse (inciso IX): para consultas cadastrais que envolvam dados públicos e legalmente disponíveis de terceiros, observado o propósito legítimo declarado pelo Usuário.</w:t>
      </w:r>
    </w:p>
    <w:p>
      <w:pPr>
        <w:pStyle w:val="ListParagraph"/>
        <w:numPr>
          <w:ilvl w:val="0"/>
          <w:numId w:val="2"/>
        </w:numPr>
        <w:spacing w:after="100"/>
        <w:jc w:val="both"/>
      </w:pPr>
      <w:r>
        <w:rPr>
          <w:rFonts w:ascii="Arial" w:cs="Arial" w:eastAsia="Arial" w:hAnsi="Arial"/>
          <w:sz w:val="22"/>
          <w:szCs w:val="22"/>
        </w:rPr>
        <w:t xml:space="preserve">Cumprimento de obrigação legal ou regulatória (inciso II): quando aplicável a exigências de compliance e prevenção à fraude.</w:t>
      </w:r>
    </w:p>
    <w:p>
      <w:pPr>
        <w:pStyle w:val="ListParagraph"/>
        <w:numPr>
          <w:ilvl w:val="0"/>
          <w:numId w:val="2"/>
        </w:numPr>
        <w:spacing w:after="100"/>
        <w:jc w:val="both"/>
      </w:pPr>
      <w:r>
        <w:rPr>
          <w:rFonts w:ascii="Arial" w:cs="Arial" w:eastAsia="Arial" w:hAnsi="Arial"/>
          <w:sz w:val="22"/>
          <w:szCs w:val="22"/>
        </w:rPr>
        <w:t xml:space="preserve">Consentimento (inciso I): para o uso de cookies não essenciais e ferramentas de marketing, quando exigido.</w:t>
      </w:r>
    </w:p>
    <w:p>
      <w:r>
        <w:t xml:space="preserve"/>
      </w:r>
    </w:p>
    <w:p>
      <w:pPr>
        <w:pStyle w:val="Heading1"/>
      </w:pPr>
      <w:r>
        <w:rPr>
          <w:rFonts w:ascii="Arial" w:cs="Arial" w:eastAsia="Arial" w:hAnsi="Arial"/>
          <w:b/>
          <w:bCs/>
          <w:sz w:val="26"/>
          <w:szCs w:val="26"/>
        </w:rPr>
        <w:t xml:space="preserve">5. Compartilhamento de Dados</w:t>
      </w:r>
    </w:p>
    <w:p>
      <w:pPr>
        <w:spacing w:after="160"/>
        <w:jc w:val="both"/>
      </w:pPr>
      <w:r>
        <w:rPr>
          <w:rFonts w:ascii="Arial" w:cs="Arial" w:eastAsia="Arial" w:hAnsi="Arial"/>
          <w:sz w:val="22"/>
          <w:szCs w:val="22"/>
        </w:rPr>
        <w:t xml:space="preserve">Os dados pessoais podem ser compartilhados com os seguintes terceiros, exclusivamente para viabilizar a operação da Plataforma:</w:t>
      </w:r>
    </w:p>
    <w:p>
      <w:pPr>
        <w:pStyle w:val="ListParagraph"/>
        <w:numPr>
          <w:ilvl w:val="0"/>
          <w:numId w:val="2"/>
        </w:numPr>
        <w:spacing w:after="100"/>
        <w:jc w:val="both"/>
      </w:pPr>
      <w:r>
        <w:rPr>
          <w:rFonts w:ascii="Arial" w:cs="Arial" w:eastAsia="Arial" w:hAnsi="Arial"/>
          <w:sz w:val="22"/>
          <w:szCs w:val="22"/>
        </w:rPr>
        <w:t xml:space="preserve">Fornecedores de Dados: parceiros exclusivos da Brokercred Imóveis Ltda, que processam as consultas cadastrais; não há relação direta entre esses fornecedores e o Usuário, conforme detalhado nos Termos de Uso.</w:t>
      </w:r>
    </w:p>
    <w:p>
      <w:pPr>
        <w:pStyle w:val="ListParagraph"/>
        <w:numPr>
          <w:ilvl w:val="0"/>
          <w:numId w:val="2"/>
        </w:numPr>
        <w:spacing w:after="100"/>
        <w:jc w:val="both"/>
      </w:pPr>
      <w:r>
        <w:rPr>
          <w:rFonts w:ascii="Arial" w:cs="Arial" w:eastAsia="Arial" w:hAnsi="Arial"/>
          <w:sz w:val="22"/>
          <w:szCs w:val="22"/>
        </w:rPr>
        <w:t xml:space="preserve">Mercado Pago: processamento de pagamentos e cobranças.</w:t>
      </w:r>
    </w:p>
    <w:p>
      <w:pPr>
        <w:pStyle w:val="ListParagraph"/>
        <w:numPr>
          <w:ilvl w:val="0"/>
          <w:numId w:val="2"/>
        </w:numPr>
        <w:spacing w:after="100"/>
        <w:jc w:val="both"/>
      </w:pPr>
      <w:r>
        <w:rPr>
          <w:rFonts w:ascii="Arial" w:cs="Arial" w:eastAsia="Arial" w:hAnsi="Arial"/>
          <w:sz w:val="22"/>
          <w:szCs w:val="22"/>
        </w:rPr>
        <w:t xml:space="preserve">Z-API: intermediação de mensagens via WhatsApp.</w:t>
      </w:r>
    </w:p>
    <w:p>
      <w:pPr>
        <w:pStyle w:val="ListParagraph"/>
        <w:numPr>
          <w:ilvl w:val="0"/>
          <w:numId w:val="2"/>
        </w:numPr>
        <w:spacing w:after="100"/>
        <w:jc w:val="both"/>
      </w:pPr>
      <w:r>
        <w:rPr>
          <w:rFonts w:ascii="Arial" w:cs="Arial" w:eastAsia="Arial" w:hAnsi="Arial"/>
          <w:sz w:val="22"/>
          <w:szCs w:val="22"/>
        </w:rPr>
        <w:t xml:space="preserve">Meta (Facebook/Instagram) e Google: ferramentas de rastreamento de conversão (Meta Pixel) e analytics (Google Analytics), para fins de mensuração de campanhas e desempenho da Plataforma.</w:t>
      </w:r>
    </w:p>
    <w:p>
      <w:pPr>
        <w:spacing w:after="160"/>
        <w:jc w:val="both"/>
      </w:pPr>
      <w:r>
        <w:rPr>
          <w:rFonts w:ascii="Arial" w:cs="Arial" w:eastAsia="Arial" w:hAnsi="Arial"/>
          <w:sz w:val="22"/>
          <w:szCs w:val="22"/>
        </w:rPr>
        <w:t xml:space="preserve">O VerificaJá não vende dados pessoais a terceiros e não compartilha dados além do estritamente necessário para a prestação dos serviços descritos.</w:t>
      </w:r>
    </w:p>
    <w:p>
      <w:r>
        <w:t xml:space="preserve"/>
      </w:r>
    </w:p>
    <w:p>
      <w:pPr>
        <w:pStyle w:val="Heading1"/>
      </w:pPr>
      <w:r>
        <w:rPr>
          <w:rFonts w:ascii="Arial" w:cs="Arial" w:eastAsia="Arial" w:hAnsi="Arial"/>
          <w:b/>
          <w:bCs/>
          <w:sz w:val="26"/>
          <w:szCs w:val="26"/>
        </w:rPr>
        <w:t xml:space="preserve">6. Armazenamento e Retenção</w:t>
      </w:r>
    </w:p>
    <w:p>
      <w:pPr>
        <w:spacing w:after="160"/>
        <w:jc w:val="both"/>
      </w:pPr>
      <w:r>
        <w:rPr>
          <w:rFonts w:ascii="Arial" w:cs="Arial" w:eastAsia="Arial" w:hAnsi="Arial"/>
          <w:sz w:val="22"/>
          <w:szCs w:val="22"/>
        </w:rPr>
        <w:t xml:space="preserve">Os dados cadastrais e de uso do Usuário são armazenados em ambiente seguro, pelo tempo necessário ao cumprimento das finalidades descritas nesta Política ou de obrigações legais aplicáveis.</w:t>
      </w:r>
    </w:p>
    <w:p>
      <w:pPr>
        <w:spacing w:after="160"/>
        <w:jc w:val="both"/>
      </w:pPr>
      <w:r>
        <w:rPr>
          <w:rFonts w:ascii="Arial" w:cs="Arial" w:eastAsia="Arial" w:hAnsi="Arial"/>
          <w:sz w:val="22"/>
          <w:szCs w:val="22"/>
        </w:rPr>
        <w:t xml:space="preserve">Os resultados de consultas cadastrais sobre terceiros não são retidos permanentemente pela Plataforma após a entrega ao Usuário, ressalvado o registro do log da transação para fins de auditoria, faturamento e prevenção a fraudes.</w:t>
      </w:r>
    </w:p>
    <w:p>
      <w:r>
        <w:t xml:space="preserve"/>
      </w:r>
    </w:p>
    <w:p>
      <w:pPr>
        <w:pStyle w:val="Heading1"/>
      </w:pPr>
      <w:r>
        <w:rPr>
          <w:rFonts w:ascii="Arial" w:cs="Arial" w:eastAsia="Arial" w:hAnsi="Arial"/>
          <w:b/>
          <w:bCs/>
          <w:sz w:val="26"/>
          <w:szCs w:val="26"/>
        </w:rPr>
        <w:t xml:space="preserve">7. Direitos do Titular dos Dados</w:t>
      </w:r>
    </w:p>
    <w:p>
      <w:pPr>
        <w:spacing w:after="160"/>
        <w:jc w:val="both"/>
      </w:pPr>
      <w:r>
        <w:rPr>
          <w:rFonts w:ascii="Arial" w:cs="Arial" w:eastAsia="Arial" w:hAnsi="Arial"/>
          <w:sz w:val="22"/>
          <w:szCs w:val="22"/>
        </w:rPr>
        <w:t xml:space="preserve">Nos termos da LGPD, o Titular dos Dados pode solicitar, mediante requisição ao VerificaJá:</w:t>
      </w:r>
    </w:p>
    <w:p>
      <w:pPr>
        <w:pStyle w:val="ListParagraph"/>
        <w:numPr>
          <w:ilvl w:val="0"/>
          <w:numId w:val="2"/>
        </w:numPr>
        <w:spacing w:after="100"/>
        <w:jc w:val="both"/>
      </w:pPr>
      <w:r>
        <w:rPr>
          <w:rFonts w:ascii="Arial" w:cs="Arial" w:eastAsia="Arial" w:hAnsi="Arial"/>
          <w:sz w:val="22"/>
          <w:szCs w:val="22"/>
        </w:rPr>
        <w:t xml:space="preserve">Confirmação da existência de tratamento de seus dados pessoais.</w:t>
      </w:r>
    </w:p>
    <w:p>
      <w:pPr>
        <w:pStyle w:val="ListParagraph"/>
        <w:numPr>
          <w:ilvl w:val="0"/>
          <w:numId w:val="2"/>
        </w:numPr>
        <w:spacing w:after="100"/>
        <w:jc w:val="both"/>
      </w:pPr>
      <w:r>
        <w:rPr>
          <w:rFonts w:ascii="Arial" w:cs="Arial" w:eastAsia="Arial" w:hAnsi="Arial"/>
          <w:sz w:val="22"/>
          <w:szCs w:val="22"/>
        </w:rPr>
        <w:t xml:space="preserve">Acesso, correção, anonimização ou exclusão de dados desatualizados, incompletos ou tratados em desconformidade com a lei.</w:t>
      </w:r>
    </w:p>
    <w:p>
      <w:pPr>
        <w:pStyle w:val="ListParagraph"/>
        <w:numPr>
          <w:ilvl w:val="0"/>
          <w:numId w:val="2"/>
        </w:numPr>
        <w:spacing w:after="100"/>
        <w:jc w:val="both"/>
      </w:pPr>
      <w:r>
        <w:rPr>
          <w:rFonts w:ascii="Arial" w:cs="Arial" w:eastAsia="Arial" w:hAnsi="Arial"/>
          <w:sz w:val="22"/>
          <w:szCs w:val="22"/>
        </w:rPr>
        <w:t xml:space="preserve">Portabilidade dos dados a outro fornecedor de serviço, observados os segredos comercial e industrial.</w:t>
      </w:r>
    </w:p>
    <w:p>
      <w:pPr>
        <w:pStyle w:val="ListParagraph"/>
        <w:numPr>
          <w:ilvl w:val="0"/>
          <w:numId w:val="2"/>
        </w:numPr>
        <w:spacing w:after="100"/>
        <w:jc w:val="both"/>
      </w:pPr>
      <w:r>
        <w:rPr>
          <w:rFonts w:ascii="Arial" w:cs="Arial" w:eastAsia="Arial" w:hAnsi="Arial"/>
          <w:sz w:val="22"/>
          <w:szCs w:val="22"/>
        </w:rPr>
        <w:t xml:space="preserve">Informação sobre as entidades públicas e privadas com as quais o controlador compartilhou dados.</w:t>
      </w:r>
    </w:p>
    <w:p>
      <w:pPr>
        <w:pStyle w:val="ListParagraph"/>
        <w:numPr>
          <w:ilvl w:val="0"/>
          <w:numId w:val="2"/>
        </w:numPr>
        <w:spacing w:after="100"/>
        <w:jc w:val="both"/>
      </w:pPr>
      <w:r>
        <w:rPr>
          <w:rFonts w:ascii="Arial" w:cs="Arial" w:eastAsia="Arial" w:hAnsi="Arial"/>
          <w:sz w:val="22"/>
          <w:szCs w:val="22"/>
        </w:rPr>
        <w:t xml:space="preserve">Revogação do consentimento, quando aplicável.</w:t>
      </w:r>
    </w:p>
    <w:p>
      <w:pPr>
        <w:spacing w:after="160"/>
        <w:jc w:val="both"/>
      </w:pPr>
      <w:r>
        <w:rPr>
          <w:rFonts w:ascii="Arial" w:cs="Arial" w:eastAsia="Arial" w:hAnsi="Arial"/>
          <w:sz w:val="22"/>
          <w:szCs w:val="22"/>
        </w:rPr>
        <w:t xml:space="preserve">Solicitações relativas a dados de terceiros consultados na Plataforma (Titulares que não são Usuários) devem ser dirigidas diretamente ao VerificaJá, que atuará junto aos Fornecedores de Dados conforme aplicável, já que o Titular não possui relação direta com tais fornecedores.</w:t>
      </w:r>
    </w:p>
    <w:p>
      <w:r>
        <w:t xml:space="preserve"/>
      </w:r>
    </w:p>
    <w:p>
      <w:pPr>
        <w:pStyle w:val="Heading1"/>
      </w:pPr>
      <w:r>
        <w:rPr>
          <w:rFonts w:ascii="Arial" w:cs="Arial" w:eastAsia="Arial" w:hAnsi="Arial"/>
          <w:b/>
          <w:bCs/>
          <w:sz w:val="26"/>
          <w:szCs w:val="26"/>
        </w:rPr>
        <w:t xml:space="preserve">8. Segurança da Informação</w:t>
      </w:r>
    </w:p>
    <w:p>
      <w:pPr>
        <w:spacing w:after="160"/>
        <w:jc w:val="both"/>
      </w:pPr>
      <w:r>
        <w:rPr>
          <w:rFonts w:ascii="Arial" w:cs="Arial" w:eastAsia="Arial" w:hAnsi="Arial"/>
          <w:sz w:val="22"/>
          <w:szCs w:val="22"/>
        </w:rPr>
        <w:t xml:space="preserve">A Plataforma adota medidas técnicas e administrativas razoáveis para proteger os dados pessoais contra acessos não autorizados e situações acidentais ou ilícitas de destruição, perda, alteração, comunicação ou qualquer forma de tratamento inadequado ou ilícito.</w:t>
      </w:r>
    </w:p>
    <w:p>
      <w:r>
        <w:t xml:space="preserve"/>
      </w:r>
    </w:p>
    <w:p>
      <w:pPr>
        <w:pStyle w:val="Heading1"/>
      </w:pPr>
      <w:r>
        <w:rPr>
          <w:rFonts w:ascii="Arial" w:cs="Arial" w:eastAsia="Arial" w:hAnsi="Arial"/>
          <w:b/>
          <w:bCs/>
          <w:sz w:val="26"/>
          <w:szCs w:val="26"/>
        </w:rPr>
        <w:t xml:space="preserve">9. Cookies e Tecnologias de Rastreamento</w:t>
      </w:r>
    </w:p>
    <w:p>
      <w:pPr>
        <w:spacing w:after="160"/>
        <w:jc w:val="both"/>
      </w:pPr>
      <w:r>
        <w:rPr>
          <w:rFonts w:ascii="Arial" w:cs="Arial" w:eastAsia="Arial" w:hAnsi="Arial"/>
          <w:sz w:val="22"/>
          <w:szCs w:val="22"/>
        </w:rPr>
        <w:t xml:space="preserve">A Plataforma utiliza cookies e tecnologias similares (incluindo Meta Pixel e Google Analytics) para viabilizar seu funcionamento, mensurar o desempenho de campanhas publicitárias e compreender o comportamento de navegação dos usuários. O Usuário pode gerenciar suas preferências de cookies diretamente nas configurações do seu navegador.</w:t>
      </w:r>
    </w:p>
    <w:p>
      <w:r>
        <w:t xml:space="preserve"/>
      </w:r>
    </w:p>
    <w:p>
      <w:pPr>
        <w:pStyle w:val="Heading1"/>
      </w:pPr>
      <w:r>
        <w:rPr>
          <w:rFonts w:ascii="Arial" w:cs="Arial" w:eastAsia="Arial" w:hAnsi="Arial"/>
          <w:b/>
          <w:bCs/>
          <w:sz w:val="26"/>
          <w:szCs w:val="26"/>
        </w:rPr>
        <w:t xml:space="preserve">10. Transferência Internacional de Dados</w:t>
      </w:r>
    </w:p>
    <w:p>
      <w:pPr>
        <w:spacing w:after="160"/>
        <w:jc w:val="both"/>
      </w:pPr>
      <w:r>
        <w:rPr>
          <w:rFonts w:ascii="Arial" w:cs="Arial" w:eastAsia="Arial" w:hAnsi="Arial"/>
          <w:sz w:val="22"/>
          <w:szCs w:val="22"/>
        </w:rPr>
        <w:t xml:space="preserve">Algumas ferramentas utilizadas pela Plataforma (como Meta Pixel e Google Analytics) podem envolver transferência de dados a servidores localizados fora do Brasil. Nesses casos, o tratamento observa os mecanismos de proteção previstos na LGPD para transferência internacional de dados.</w:t>
      </w:r>
    </w:p>
    <w:p>
      <w:r>
        <w:t xml:space="preserve"/>
      </w:r>
    </w:p>
    <w:p>
      <w:pPr>
        <w:pStyle w:val="Heading1"/>
      </w:pPr>
      <w:r>
        <w:rPr>
          <w:rFonts w:ascii="Arial" w:cs="Arial" w:eastAsia="Arial" w:hAnsi="Arial"/>
          <w:b/>
          <w:bCs/>
          <w:sz w:val="26"/>
          <w:szCs w:val="26"/>
        </w:rPr>
        <w:t xml:space="preserve">11. Alterações desta Política</w:t>
      </w:r>
    </w:p>
    <w:p>
      <w:pPr>
        <w:spacing w:after="160"/>
        <w:jc w:val="both"/>
      </w:pPr>
      <w:r>
        <w:rPr>
          <w:rFonts w:ascii="Arial" w:cs="Arial" w:eastAsia="Arial" w:hAnsi="Arial"/>
          <w:sz w:val="22"/>
          <w:szCs w:val="22"/>
        </w:rPr>
        <w:t xml:space="preserve">Esta Política de Privacidade pode ser atualizada periodicamente para refletir melhorias na Plataforma ou mudanças legislativas. A versão vigente estará sempre disponível em verificaja.com.br, com indicação da data da última atualização.</w:t>
      </w:r>
    </w:p>
    <w:p>
      <w:r>
        <w:t xml:space="preserve"/>
      </w:r>
    </w:p>
    <w:p>
      <w:pPr>
        <w:pStyle w:val="Heading1"/>
      </w:pPr>
      <w:r>
        <w:rPr>
          <w:rFonts w:ascii="Arial" w:cs="Arial" w:eastAsia="Arial" w:hAnsi="Arial"/>
          <w:b/>
          <w:bCs/>
          <w:sz w:val="26"/>
          <w:szCs w:val="26"/>
        </w:rPr>
        <w:t xml:space="preserve">12. Contato e Encarregado (DPO)</w:t>
      </w:r>
    </w:p>
    <w:p>
      <w:pPr>
        <w:spacing w:after="160"/>
        <w:jc w:val="both"/>
      </w:pPr>
      <w:r>
        <w:rPr>
          <w:rFonts w:ascii="Arial" w:cs="Arial" w:eastAsia="Arial" w:hAnsi="Arial"/>
          <w:sz w:val="22"/>
          <w:szCs w:val="22"/>
        </w:rPr>
        <w:t xml:space="preserve">Dúvidas, solicitações ou exercício de direitos relacionados a esta Política de Privacidade podem ser encaminhados ao canal de atendimento do VerificaJá: sac.verificaja@gmail.com.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pPr>
      <w:pBdr>
        <w:bottom w:val="single" w:color="CCCCCC" w:sz="4" w:space="4"/>
      </w:pBdr>
      <w:spacing w:after="160" w:before="320"/>
      <w:outlineLvl w:val="0"/>
    </w:pPr>
    <w:rPr>
      <w:rFonts w:ascii="Arial" w:cs="Arial" w:eastAsia="Arial" w:hAnsi="Arial"/>
      <w:b/>
      <w:bCs/>
      <w:color w:val="1F3864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2026-07-06T13:56:48.143Z</dcterms:created>
  <dcterms:modified xsi:type="dcterms:W3CDTF">2026-07-06T13:56:48.144Z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